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89A5C" w14:textId="77777777" w:rsidR="00357AF9" w:rsidRPr="00357AF9" w:rsidRDefault="00357AF9" w:rsidP="00357AF9">
      <w:pPr>
        <w:bidi w:val="0"/>
        <w:spacing w:before="100" w:beforeAutospacing="1" w:after="100" w:afterAutospacing="1" w:line="240" w:lineRule="auto"/>
        <w:outlineLvl w:val="0"/>
        <w:rPr>
          <w:rFonts w:ascii="Times New Roman" w:eastAsia="Times New Roman" w:hAnsi="Times New Roman" w:cs="Times New Roman"/>
          <w:b/>
          <w:bCs/>
          <w:i/>
          <w:iCs/>
          <w:kern w:val="36"/>
          <w:sz w:val="48"/>
          <w:szCs w:val="48"/>
          <w14:ligatures w14:val="none"/>
        </w:rPr>
      </w:pPr>
      <w:r w:rsidRPr="00357AF9">
        <w:rPr>
          <w:rFonts w:ascii="Times New Roman" w:eastAsia="Times New Roman" w:hAnsi="Times New Roman" w:cs="Times New Roman"/>
          <w:b/>
          <w:bCs/>
          <w:i/>
          <w:iCs/>
          <w:kern w:val="36"/>
          <w:sz w:val="48"/>
          <w:szCs w:val="48"/>
          <w14:ligatures w14:val="none"/>
        </w:rPr>
        <w:t>Cognitive symptoms of Alzheimer’s disease: clinical management and prevention</w:t>
      </w:r>
    </w:p>
    <w:p w14:paraId="070690B2" w14:textId="77777777" w:rsidR="00357AF9" w:rsidRPr="00357AF9" w:rsidRDefault="00357AF9" w:rsidP="00357AF9">
      <w:pPr>
        <w:bidi w:val="0"/>
        <w:spacing w:after="0" w:line="240" w:lineRule="auto"/>
        <w:rPr>
          <w:rFonts w:ascii="Times New Roman" w:eastAsia="Times New Roman" w:hAnsi="Times New Roman" w:cs="Times New Roman"/>
          <w:kern w:val="0"/>
          <w:sz w:val="24"/>
          <w:szCs w:val="24"/>
          <w14:ligatures w14:val="none"/>
        </w:rPr>
      </w:pPr>
      <w:r w:rsidRPr="00357AF9">
        <w:rPr>
          <w:rFonts w:ascii="Times New Roman" w:eastAsia="Times New Roman" w:hAnsi="Times New Roman" w:cs="Times New Roman"/>
          <w:i/>
          <w:iCs/>
          <w:kern w:val="0"/>
          <w:sz w:val="24"/>
          <w:szCs w:val="24"/>
          <w14:ligatures w14:val="none"/>
        </w:rPr>
        <w:t xml:space="preserve">BMJ 2019; 367 </w:t>
      </w:r>
      <w:proofErr w:type="spellStart"/>
      <w:r w:rsidRPr="00357AF9">
        <w:rPr>
          <w:rFonts w:ascii="Times New Roman" w:eastAsia="Times New Roman" w:hAnsi="Times New Roman" w:cs="Times New Roman"/>
          <w:i/>
          <w:iCs/>
          <w:kern w:val="0"/>
          <w:sz w:val="24"/>
          <w:szCs w:val="24"/>
          <w14:ligatures w14:val="none"/>
        </w:rPr>
        <w:t>doi</w:t>
      </w:r>
      <w:proofErr w:type="spellEnd"/>
      <w:r w:rsidRPr="00357AF9">
        <w:rPr>
          <w:rFonts w:ascii="Times New Roman" w:eastAsia="Times New Roman" w:hAnsi="Times New Roman" w:cs="Times New Roman"/>
          <w:i/>
          <w:iCs/>
          <w:kern w:val="0"/>
          <w:sz w:val="24"/>
          <w:szCs w:val="24"/>
          <w14:ligatures w14:val="none"/>
        </w:rPr>
        <w:t xml:space="preserve">: </w:t>
      </w:r>
      <w:hyperlink r:id="rId5" w:history="1">
        <w:r w:rsidRPr="00357AF9">
          <w:rPr>
            <w:rFonts w:ascii="Times New Roman" w:eastAsia="Times New Roman" w:hAnsi="Times New Roman" w:cs="Times New Roman"/>
            <w:i/>
            <w:iCs/>
            <w:color w:val="0000FF"/>
            <w:kern w:val="0"/>
            <w:sz w:val="24"/>
            <w:szCs w:val="24"/>
            <w:u w:val="single"/>
            <w14:ligatures w14:val="none"/>
          </w:rPr>
          <w:t>https://doi.org/10.1136/bmj.l6217</w:t>
        </w:r>
      </w:hyperlink>
      <w:r w:rsidRPr="00357AF9">
        <w:rPr>
          <w:rFonts w:ascii="Times New Roman" w:eastAsia="Times New Roman" w:hAnsi="Times New Roman" w:cs="Times New Roman"/>
          <w:i/>
          <w:iCs/>
          <w:kern w:val="0"/>
          <w:sz w:val="24"/>
          <w:szCs w:val="24"/>
          <w14:ligatures w14:val="none"/>
        </w:rPr>
        <w:t xml:space="preserve"> (Published 06 December 2019) Cite this as: BMJ 2019;</w:t>
      </w:r>
      <w:proofErr w:type="gramStart"/>
      <w:r w:rsidRPr="00357AF9">
        <w:rPr>
          <w:rFonts w:ascii="Times New Roman" w:eastAsia="Times New Roman" w:hAnsi="Times New Roman" w:cs="Times New Roman"/>
          <w:i/>
          <w:iCs/>
          <w:kern w:val="0"/>
          <w:sz w:val="24"/>
          <w:szCs w:val="24"/>
          <w14:ligatures w14:val="none"/>
        </w:rPr>
        <w:t>367:l</w:t>
      </w:r>
      <w:proofErr w:type="gramEnd"/>
      <w:r w:rsidRPr="00357AF9">
        <w:rPr>
          <w:rFonts w:ascii="Times New Roman" w:eastAsia="Times New Roman" w:hAnsi="Times New Roman" w:cs="Times New Roman"/>
          <w:i/>
          <w:iCs/>
          <w:kern w:val="0"/>
          <w:sz w:val="24"/>
          <w:szCs w:val="24"/>
          <w14:ligatures w14:val="none"/>
        </w:rPr>
        <w:t xml:space="preserve">6217 </w:t>
      </w:r>
    </w:p>
    <w:p w14:paraId="21E9A4E7" w14:textId="77777777" w:rsidR="00357AF9" w:rsidRPr="00357AF9" w:rsidRDefault="00357AF9" w:rsidP="00357AF9">
      <w:pPr>
        <w:numPr>
          <w:ilvl w:val="0"/>
          <w:numId w:val="1"/>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6" w:tooltip="Article Tab - Article" w:history="1">
        <w:r w:rsidRPr="00357AF9">
          <w:rPr>
            <w:rFonts w:ascii="Times New Roman" w:eastAsia="Times New Roman" w:hAnsi="Times New Roman" w:cs="Times New Roman"/>
            <w:color w:val="0000FF"/>
            <w:kern w:val="0"/>
            <w:sz w:val="24"/>
            <w:szCs w:val="24"/>
            <w:u w:val="single"/>
            <w14:ligatures w14:val="none"/>
          </w:rPr>
          <w:t>Article</w:t>
        </w:r>
      </w:hyperlink>
    </w:p>
    <w:p w14:paraId="1B67FA27" w14:textId="77777777" w:rsidR="00357AF9" w:rsidRPr="00357AF9" w:rsidRDefault="00357AF9" w:rsidP="00357AF9">
      <w:pPr>
        <w:numPr>
          <w:ilvl w:val="0"/>
          <w:numId w:val="1"/>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7" w:tooltip="Article Tab - Related Articles" w:history="1">
        <w:r w:rsidRPr="00357AF9">
          <w:rPr>
            <w:rFonts w:ascii="Times New Roman" w:eastAsia="Times New Roman" w:hAnsi="Times New Roman" w:cs="Times New Roman"/>
            <w:color w:val="0000FF"/>
            <w:kern w:val="0"/>
            <w:sz w:val="24"/>
            <w:szCs w:val="24"/>
            <w:u w:val="single"/>
            <w14:ligatures w14:val="none"/>
          </w:rPr>
          <w:t>Related content</w:t>
        </w:r>
      </w:hyperlink>
    </w:p>
    <w:p w14:paraId="7EF46189" w14:textId="77777777" w:rsidR="00357AF9" w:rsidRPr="00357AF9" w:rsidRDefault="00357AF9" w:rsidP="00357AF9">
      <w:pPr>
        <w:numPr>
          <w:ilvl w:val="0"/>
          <w:numId w:val="1"/>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8" w:tooltip="Article Tab - Info &amp; Metrics" w:history="1">
        <w:r w:rsidRPr="00357AF9">
          <w:rPr>
            <w:rFonts w:ascii="Times New Roman" w:eastAsia="Times New Roman" w:hAnsi="Times New Roman" w:cs="Times New Roman"/>
            <w:color w:val="0000FF"/>
            <w:kern w:val="0"/>
            <w:sz w:val="24"/>
            <w:szCs w:val="24"/>
            <w:u w:val="single"/>
            <w14:ligatures w14:val="none"/>
          </w:rPr>
          <w:t>Metrics</w:t>
        </w:r>
      </w:hyperlink>
    </w:p>
    <w:p w14:paraId="004ECDE4" w14:textId="77777777" w:rsidR="00357AF9" w:rsidRPr="00357AF9" w:rsidRDefault="00357AF9" w:rsidP="00357AF9">
      <w:pPr>
        <w:numPr>
          <w:ilvl w:val="0"/>
          <w:numId w:val="1"/>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9" w:tooltip="BMJ Article Related Rapid Responses" w:history="1">
        <w:r w:rsidRPr="00357AF9">
          <w:rPr>
            <w:rFonts w:ascii="Times New Roman" w:eastAsia="Times New Roman" w:hAnsi="Times New Roman" w:cs="Times New Roman"/>
            <w:color w:val="0000FF"/>
            <w:kern w:val="0"/>
            <w:sz w:val="24"/>
            <w:szCs w:val="24"/>
            <w:u w:val="single"/>
            <w14:ligatures w14:val="none"/>
          </w:rPr>
          <w:t>Responses</w:t>
        </w:r>
      </w:hyperlink>
    </w:p>
    <w:p w14:paraId="6A3D66E3" w14:textId="77777777" w:rsidR="00357AF9" w:rsidRPr="00357AF9" w:rsidRDefault="00357AF9" w:rsidP="00357AF9">
      <w:pPr>
        <w:numPr>
          <w:ilvl w:val="0"/>
          <w:numId w:val="2"/>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357AF9">
        <w:rPr>
          <w:rFonts w:ascii="Times New Roman" w:eastAsia="Times New Roman" w:hAnsi="Times New Roman" w:cs="Times New Roman"/>
          <w:kern w:val="0"/>
          <w:sz w:val="24"/>
          <w:szCs w:val="24"/>
          <w14:ligatures w14:val="none"/>
        </w:rPr>
        <w:t>Elizabeth Joe, assistant professor of clinical neurology</w:t>
      </w:r>
      <w:hyperlink r:id="rId10" w:anchor="aff-1" w:history="1">
        <w:r w:rsidRPr="00357AF9">
          <w:rPr>
            <w:rFonts w:ascii="Times New Roman" w:eastAsia="Times New Roman" w:hAnsi="Times New Roman" w:cs="Times New Roman"/>
            <w:color w:val="0000FF"/>
            <w:kern w:val="0"/>
            <w:sz w:val="24"/>
            <w:szCs w:val="24"/>
            <w:u w:val="single"/>
            <w14:ligatures w14:val="none"/>
          </w:rPr>
          <w:t>1</w:t>
        </w:r>
      </w:hyperlink>
      <w:r w:rsidRPr="00357AF9">
        <w:rPr>
          <w:rFonts w:ascii="Times New Roman" w:eastAsia="Times New Roman" w:hAnsi="Times New Roman" w:cs="Times New Roman"/>
          <w:kern w:val="0"/>
          <w:sz w:val="24"/>
          <w:szCs w:val="24"/>
          <w14:ligatures w14:val="none"/>
        </w:rPr>
        <w:t>,  </w:t>
      </w:r>
    </w:p>
    <w:p w14:paraId="50A1021C" w14:textId="77777777" w:rsidR="00357AF9" w:rsidRPr="00357AF9" w:rsidRDefault="00357AF9" w:rsidP="00357AF9">
      <w:pPr>
        <w:numPr>
          <w:ilvl w:val="0"/>
          <w:numId w:val="2"/>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357AF9">
        <w:rPr>
          <w:rFonts w:ascii="Times New Roman" w:eastAsia="Times New Roman" w:hAnsi="Times New Roman" w:cs="Times New Roman"/>
          <w:kern w:val="0"/>
          <w:sz w:val="24"/>
          <w:szCs w:val="24"/>
          <w14:ligatures w14:val="none"/>
        </w:rPr>
        <w:t>John M Ringman, Helene and Lou Galen professor of clinical neurology</w:t>
      </w:r>
      <w:hyperlink r:id="rId11" w:anchor="aff-1" w:history="1">
        <w:r w:rsidRPr="00357AF9">
          <w:rPr>
            <w:rFonts w:ascii="Times New Roman" w:eastAsia="Times New Roman" w:hAnsi="Times New Roman" w:cs="Times New Roman"/>
            <w:color w:val="0000FF"/>
            <w:kern w:val="0"/>
            <w:sz w:val="24"/>
            <w:szCs w:val="24"/>
            <w:u w:val="single"/>
            <w14:ligatures w14:val="none"/>
          </w:rPr>
          <w:t>1</w:t>
        </w:r>
      </w:hyperlink>
    </w:p>
    <w:p w14:paraId="4BDAC6C3" w14:textId="77777777" w:rsidR="00357AF9" w:rsidRPr="00357AF9" w:rsidRDefault="00357AF9" w:rsidP="00357AF9">
      <w:pPr>
        <w:bidi w:val="0"/>
        <w:spacing w:after="0" w:line="240" w:lineRule="auto"/>
        <w:ind w:left="720"/>
        <w:rPr>
          <w:rFonts w:ascii="Times New Roman" w:eastAsia="Times New Roman" w:hAnsi="Times New Roman" w:cs="Times New Roman"/>
          <w:kern w:val="0"/>
          <w:sz w:val="24"/>
          <w:szCs w:val="24"/>
          <w14:ligatures w14:val="none"/>
        </w:rPr>
      </w:pPr>
      <w:hyperlink r:id="rId12" w:history="1">
        <w:r w:rsidRPr="00357AF9">
          <w:rPr>
            <w:rFonts w:ascii="Times New Roman" w:eastAsia="Times New Roman" w:hAnsi="Times New Roman" w:cs="Times New Roman"/>
            <w:color w:val="0000FF"/>
            <w:kern w:val="0"/>
            <w:sz w:val="24"/>
            <w:szCs w:val="24"/>
            <w:u w:val="single"/>
            <w14:ligatures w14:val="none"/>
          </w:rPr>
          <w:t>Author affiliations</w:t>
        </w:r>
      </w:hyperlink>
    </w:p>
    <w:p w14:paraId="2307F178" w14:textId="77777777" w:rsidR="00357AF9" w:rsidRPr="00357AF9" w:rsidRDefault="00357AF9" w:rsidP="00357AF9">
      <w:pPr>
        <w:numPr>
          <w:ilvl w:val="0"/>
          <w:numId w:val="3"/>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357AF9">
        <w:rPr>
          <w:rFonts w:ascii="Times New Roman" w:eastAsia="Times New Roman" w:hAnsi="Times New Roman" w:cs="Times New Roman"/>
          <w:kern w:val="0"/>
          <w:sz w:val="24"/>
          <w:szCs w:val="24"/>
          <w14:ligatures w14:val="none"/>
        </w:rPr>
        <w:t xml:space="preserve">Correspondence to: E Joe </w:t>
      </w:r>
      <w:hyperlink r:id="rId13" w:history="1">
        <w:r w:rsidRPr="00357AF9">
          <w:rPr>
            <w:rFonts w:ascii="Times New Roman" w:eastAsia="Times New Roman" w:hAnsi="Times New Roman" w:cs="Times New Roman"/>
            <w:color w:val="0000FF"/>
            <w:kern w:val="0"/>
            <w:sz w:val="24"/>
            <w:szCs w:val="24"/>
            <w:u w:val="single"/>
            <w14:ligatures w14:val="none"/>
          </w:rPr>
          <w:t>Elizabeth.Joe@med.usc.edu</w:t>
        </w:r>
      </w:hyperlink>
    </w:p>
    <w:p w14:paraId="02C75F24" w14:textId="77777777" w:rsidR="00357AF9" w:rsidRPr="00357AF9" w:rsidRDefault="00357AF9" w:rsidP="00357AF9">
      <w:pPr>
        <w:bidi w:val="0"/>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57AF9">
        <w:rPr>
          <w:rFonts w:ascii="Times New Roman" w:eastAsia="Times New Roman" w:hAnsi="Times New Roman" w:cs="Times New Roman"/>
          <w:b/>
          <w:bCs/>
          <w:kern w:val="0"/>
          <w:sz w:val="36"/>
          <w:szCs w:val="36"/>
          <w14:ligatures w14:val="none"/>
        </w:rPr>
        <w:t>ABSTRACT</w:t>
      </w:r>
    </w:p>
    <w:p w14:paraId="359993B0" w14:textId="77777777" w:rsidR="00357AF9" w:rsidRPr="00357AF9" w:rsidRDefault="00357AF9" w:rsidP="00357AF9">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357AF9">
        <w:rPr>
          <w:rFonts w:ascii="Times New Roman" w:eastAsia="Times New Roman" w:hAnsi="Times New Roman" w:cs="Times New Roman"/>
          <w:kern w:val="0"/>
          <w:sz w:val="24"/>
          <w:szCs w:val="24"/>
          <w14:ligatures w14:val="none"/>
        </w:rPr>
        <w:t>Alzheimer’s disease (AD) is a progressive neurodegenerative disease characterized by the accumulation of amyloid β in the form of extracellular plaques and by intracellular neurofibrillary tangles, with eventual neurodegeneration and dementia. There is currently no disease-modifying treatment though several symptomatic medications exist with modest benefit on cognition. Acetylcholinesterase inhibitors have a consistent benefit across all stages of dementia; their benefit in mild cognitive impairment and prodromal AD is unproven. Memantine has a smaller benefit on cognition overall which is limited to the moderate to severe stages, and the combination of a cholinesterase inhibitor and memantine may have additional efficacy. Evidence for the efficacy of vitamin E supplementation and medical foods is weak but might be considered in the context of cost, availability, and safety in individual patients. Apparently promising disease-modifying interventions, mostly addressing the amyloid cascade hypothesis of AD, have recently failed to demonstrate efficacy so novel approaches must be considered.</w:t>
      </w:r>
    </w:p>
    <w:p w14:paraId="5FC395D6" w14:textId="77777777" w:rsidR="00357AF9" w:rsidRPr="00357AF9" w:rsidRDefault="00357AF9" w:rsidP="00357AF9">
      <w:pPr>
        <w:bidi w:val="0"/>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57AF9">
        <w:rPr>
          <w:rFonts w:ascii="Times New Roman" w:eastAsia="Times New Roman" w:hAnsi="Times New Roman" w:cs="Times New Roman"/>
          <w:b/>
          <w:bCs/>
          <w:kern w:val="0"/>
          <w:sz w:val="36"/>
          <w:szCs w:val="36"/>
          <w14:ligatures w14:val="none"/>
        </w:rPr>
        <w:t>Footnotes</w:t>
      </w:r>
    </w:p>
    <w:p w14:paraId="6D582DD9" w14:textId="77777777" w:rsidR="00357AF9" w:rsidRPr="00357AF9" w:rsidRDefault="00357AF9" w:rsidP="00357AF9">
      <w:pPr>
        <w:numPr>
          <w:ilvl w:val="0"/>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357AF9">
        <w:rPr>
          <w:rFonts w:ascii="Times New Roman" w:eastAsia="Times New Roman" w:hAnsi="Times New Roman" w:cs="Times New Roman"/>
          <w:kern w:val="0"/>
          <w:sz w:val="24"/>
          <w:szCs w:val="24"/>
          <w14:ligatures w14:val="none"/>
        </w:rPr>
        <w:t xml:space="preserve">Series explanation: State of the Art Reviews are commissioned on the basis of their relevance to academics and specialists in the US and internationally. For this </w:t>
      </w:r>
      <w:proofErr w:type="gramStart"/>
      <w:r w:rsidRPr="00357AF9">
        <w:rPr>
          <w:rFonts w:ascii="Times New Roman" w:eastAsia="Times New Roman" w:hAnsi="Times New Roman" w:cs="Times New Roman"/>
          <w:kern w:val="0"/>
          <w:sz w:val="24"/>
          <w:szCs w:val="24"/>
          <w14:ligatures w14:val="none"/>
        </w:rPr>
        <w:t>reason</w:t>
      </w:r>
      <w:proofErr w:type="gramEnd"/>
      <w:r w:rsidRPr="00357AF9">
        <w:rPr>
          <w:rFonts w:ascii="Times New Roman" w:eastAsia="Times New Roman" w:hAnsi="Times New Roman" w:cs="Times New Roman"/>
          <w:kern w:val="0"/>
          <w:sz w:val="24"/>
          <w:szCs w:val="24"/>
          <w14:ligatures w14:val="none"/>
        </w:rPr>
        <w:t xml:space="preserve"> they are written predominantly by US authors</w:t>
      </w:r>
    </w:p>
    <w:p w14:paraId="6AE3C861" w14:textId="77777777" w:rsidR="00357AF9" w:rsidRPr="00357AF9" w:rsidRDefault="00357AF9" w:rsidP="00357AF9">
      <w:pPr>
        <w:numPr>
          <w:ilvl w:val="0"/>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357AF9">
        <w:rPr>
          <w:rFonts w:ascii="Times New Roman" w:eastAsia="Times New Roman" w:hAnsi="Times New Roman" w:cs="Times New Roman"/>
          <w:kern w:val="0"/>
          <w:sz w:val="24"/>
          <w:szCs w:val="24"/>
          <w14:ligatures w14:val="none"/>
        </w:rPr>
        <w:t>Competing interests: We have read and understood the BMJ policy on declaration of interests and have no relevant interests to declare.</w:t>
      </w:r>
    </w:p>
    <w:p w14:paraId="3F8B1677" w14:textId="77777777" w:rsidR="00357AF9" w:rsidRPr="00357AF9" w:rsidRDefault="00357AF9" w:rsidP="00357AF9">
      <w:pPr>
        <w:numPr>
          <w:ilvl w:val="0"/>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357AF9">
        <w:rPr>
          <w:rFonts w:ascii="Times New Roman" w:eastAsia="Times New Roman" w:hAnsi="Times New Roman" w:cs="Times New Roman"/>
          <w:kern w:val="0"/>
          <w:sz w:val="24"/>
          <w:szCs w:val="24"/>
          <w14:ligatures w14:val="none"/>
        </w:rPr>
        <w:t>Contributors: Both authors participated in formulating the search queries, reviewing the literature, and drafting and revising the manuscript. Both authors accept full responsibility for the work, had access to the data, and controlled the decision to publish.</w:t>
      </w:r>
    </w:p>
    <w:p w14:paraId="55E9BC5B" w14:textId="77777777" w:rsidR="00357AF9" w:rsidRPr="00357AF9" w:rsidRDefault="00357AF9" w:rsidP="00357AF9">
      <w:pPr>
        <w:numPr>
          <w:ilvl w:val="0"/>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357AF9">
        <w:rPr>
          <w:rFonts w:ascii="Times New Roman" w:eastAsia="Times New Roman" w:hAnsi="Times New Roman" w:cs="Times New Roman"/>
          <w:kern w:val="0"/>
          <w:sz w:val="24"/>
          <w:szCs w:val="24"/>
          <w14:ligatures w14:val="none"/>
        </w:rPr>
        <w:t>Funding: This work was supported by NIH P50 AG-005142.</w:t>
      </w:r>
    </w:p>
    <w:p w14:paraId="02EBC2D5" w14:textId="77777777" w:rsidR="00357AF9" w:rsidRPr="00357AF9" w:rsidRDefault="00357AF9" w:rsidP="00357AF9">
      <w:pPr>
        <w:numPr>
          <w:ilvl w:val="0"/>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357AF9">
        <w:rPr>
          <w:rFonts w:ascii="Times New Roman" w:eastAsia="Times New Roman" w:hAnsi="Times New Roman" w:cs="Times New Roman"/>
          <w:kern w:val="0"/>
          <w:sz w:val="24"/>
          <w:szCs w:val="24"/>
          <w14:ligatures w14:val="none"/>
        </w:rPr>
        <w:t>Provenance and peer review: Commissioned; externally peer reviewed.</w:t>
      </w:r>
    </w:p>
    <w:p w14:paraId="299E1BB4" w14:textId="77777777" w:rsidR="00357AF9" w:rsidRPr="00357AF9" w:rsidRDefault="00357AF9" w:rsidP="00357AF9">
      <w:pPr>
        <w:numPr>
          <w:ilvl w:val="0"/>
          <w:numId w:val="4"/>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357AF9">
        <w:rPr>
          <w:rFonts w:ascii="Times New Roman" w:eastAsia="Times New Roman" w:hAnsi="Times New Roman" w:cs="Times New Roman"/>
          <w:kern w:val="0"/>
          <w:sz w:val="24"/>
          <w:szCs w:val="24"/>
          <w14:ligatures w14:val="none"/>
        </w:rPr>
        <w:lastRenderedPageBreak/>
        <w:t>Patient involvement: No patients were involved in the drafting or review of this manuscript.</w:t>
      </w:r>
    </w:p>
    <w:p w14:paraId="46DCEA6E" w14:textId="77777777" w:rsidR="00CD3859" w:rsidRDefault="00CD3859">
      <w:pPr>
        <w:rPr>
          <w:rFonts w:hint="cs"/>
          <w:rtl/>
        </w:rPr>
      </w:pPr>
    </w:p>
    <w:sectPr w:rsidR="00CD3859" w:rsidSect="0043077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7EF6"/>
    <w:multiLevelType w:val="multilevel"/>
    <w:tmpl w:val="05783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470504"/>
    <w:multiLevelType w:val="multilevel"/>
    <w:tmpl w:val="126E5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157A4E"/>
    <w:multiLevelType w:val="multilevel"/>
    <w:tmpl w:val="BFB8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1927A9"/>
    <w:multiLevelType w:val="multilevel"/>
    <w:tmpl w:val="58E6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2699748">
    <w:abstractNumId w:val="3"/>
  </w:num>
  <w:num w:numId="2" w16cid:durableId="1425612021">
    <w:abstractNumId w:val="0"/>
  </w:num>
  <w:num w:numId="3" w16cid:durableId="2026126668">
    <w:abstractNumId w:val="1"/>
  </w:num>
  <w:num w:numId="4" w16cid:durableId="155615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AF9"/>
    <w:rsid w:val="00357AF9"/>
    <w:rsid w:val="0043077F"/>
    <w:rsid w:val="00AA5C15"/>
    <w:rsid w:val="00CD385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B39D7"/>
  <w15:chartTrackingRefBased/>
  <w15:docId w15:val="{DFC91CFB-FB50-4564-BA4F-E0CE1B85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fa-IR"/>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206727">
      <w:bodyDiv w:val="1"/>
      <w:marLeft w:val="0"/>
      <w:marRight w:val="0"/>
      <w:marTop w:val="0"/>
      <w:marBottom w:val="0"/>
      <w:divBdr>
        <w:top w:val="none" w:sz="0" w:space="0" w:color="auto"/>
        <w:left w:val="none" w:sz="0" w:space="0" w:color="auto"/>
        <w:bottom w:val="none" w:sz="0" w:space="0" w:color="auto"/>
        <w:right w:val="none" w:sz="0" w:space="0" w:color="auto"/>
      </w:divBdr>
      <w:divsChild>
        <w:div w:id="1500001894">
          <w:marLeft w:val="0"/>
          <w:marRight w:val="0"/>
          <w:marTop w:val="0"/>
          <w:marBottom w:val="0"/>
          <w:divBdr>
            <w:top w:val="none" w:sz="0" w:space="0" w:color="auto"/>
            <w:left w:val="none" w:sz="0" w:space="0" w:color="auto"/>
            <w:bottom w:val="none" w:sz="0" w:space="0" w:color="auto"/>
            <w:right w:val="none" w:sz="0" w:space="0" w:color="auto"/>
          </w:divBdr>
          <w:divsChild>
            <w:div w:id="2078625356">
              <w:marLeft w:val="0"/>
              <w:marRight w:val="0"/>
              <w:marTop w:val="0"/>
              <w:marBottom w:val="0"/>
              <w:divBdr>
                <w:top w:val="none" w:sz="0" w:space="0" w:color="auto"/>
                <w:left w:val="none" w:sz="0" w:space="0" w:color="auto"/>
                <w:bottom w:val="none" w:sz="0" w:space="0" w:color="auto"/>
                <w:right w:val="none" w:sz="0" w:space="0" w:color="auto"/>
              </w:divBdr>
              <w:divsChild>
                <w:div w:id="64200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7927">
          <w:marLeft w:val="0"/>
          <w:marRight w:val="0"/>
          <w:marTop w:val="0"/>
          <w:marBottom w:val="0"/>
          <w:divBdr>
            <w:top w:val="none" w:sz="0" w:space="0" w:color="auto"/>
            <w:left w:val="none" w:sz="0" w:space="0" w:color="auto"/>
            <w:bottom w:val="none" w:sz="0" w:space="0" w:color="auto"/>
            <w:right w:val="none" w:sz="0" w:space="0" w:color="auto"/>
          </w:divBdr>
          <w:divsChild>
            <w:div w:id="1904027430">
              <w:marLeft w:val="0"/>
              <w:marRight w:val="0"/>
              <w:marTop w:val="0"/>
              <w:marBottom w:val="0"/>
              <w:divBdr>
                <w:top w:val="none" w:sz="0" w:space="0" w:color="auto"/>
                <w:left w:val="none" w:sz="0" w:space="0" w:color="auto"/>
                <w:bottom w:val="none" w:sz="0" w:space="0" w:color="auto"/>
                <w:right w:val="none" w:sz="0" w:space="0" w:color="auto"/>
              </w:divBdr>
            </w:div>
          </w:divsChild>
        </w:div>
        <w:div w:id="1471677505">
          <w:marLeft w:val="0"/>
          <w:marRight w:val="0"/>
          <w:marTop w:val="0"/>
          <w:marBottom w:val="0"/>
          <w:divBdr>
            <w:top w:val="none" w:sz="0" w:space="0" w:color="auto"/>
            <w:left w:val="none" w:sz="0" w:space="0" w:color="auto"/>
            <w:bottom w:val="none" w:sz="0" w:space="0" w:color="auto"/>
            <w:right w:val="none" w:sz="0" w:space="0" w:color="auto"/>
          </w:divBdr>
          <w:divsChild>
            <w:div w:id="516040565">
              <w:marLeft w:val="0"/>
              <w:marRight w:val="0"/>
              <w:marTop w:val="0"/>
              <w:marBottom w:val="0"/>
              <w:divBdr>
                <w:top w:val="none" w:sz="0" w:space="0" w:color="auto"/>
                <w:left w:val="none" w:sz="0" w:space="0" w:color="auto"/>
                <w:bottom w:val="none" w:sz="0" w:space="0" w:color="auto"/>
                <w:right w:val="none" w:sz="0" w:space="0" w:color="auto"/>
              </w:divBdr>
              <w:divsChild>
                <w:div w:id="134495143">
                  <w:marLeft w:val="0"/>
                  <w:marRight w:val="0"/>
                  <w:marTop w:val="0"/>
                  <w:marBottom w:val="0"/>
                  <w:divBdr>
                    <w:top w:val="none" w:sz="0" w:space="0" w:color="auto"/>
                    <w:left w:val="none" w:sz="0" w:space="0" w:color="auto"/>
                    <w:bottom w:val="none" w:sz="0" w:space="0" w:color="auto"/>
                    <w:right w:val="none" w:sz="0" w:space="0" w:color="auto"/>
                  </w:divBdr>
                  <w:divsChild>
                    <w:div w:id="2075276906">
                      <w:marLeft w:val="0"/>
                      <w:marRight w:val="0"/>
                      <w:marTop w:val="0"/>
                      <w:marBottom w:val="0"/>
                      <w:divBdr>
                        <w:top w:val="none" w:sz="0" w:space="0" w:color="auto"/>
                        <w:left w:val="none" w:sz="0" w:space="0" w:color="auto"/>
                        <w:bottom w:val="none" w:sz="0" w:space="0" w:color="auto"/>
                        <w:right w:val="none" w:sz="0" w:space="0" w:color="auto"/>
                      </w:divBdr>
                      <w:divsChild>
                        <w:div w:id="1660618018">
                          <w:marLeft w:val="0"/>
                          <w:marRight w:val="0"/>
                          <w:marTop w:val="0"/>
                          <w:marBottom w:val="0"/>
                          <w:divBdr>
                            <w:top w:val="none" w:sz="0" w:space="0" w:color="auto"/>
                            <w:left w:val="none" w:sz="0" w:space="0" w:color="auto"/>
                            <w:bottom w:val="none" w:sz="0" w:space="0" w:color="auto"/>
                            <w:right w:val="none" w:sz="0" w:space="0" w:color="auto"/>
                          </w:divBdr>
                          <w:divsChild>
                            <w:div w:id="742677673">
                              <w:marLeft w:val="0"/>
                              <w:marRight w:val="0"/>
                              <w:marTop w:val="0"/>
                              <w:marBottom w:val="0"/>
                              <w:divBdr>
                                <w:top w:val="none" w:sz="0" w:space="0" w:color="auto"/>
                                <w:left w:val="none" w:sz="0" w:space="0" w:color="auto"/>
                                <w:bottom w:val="none" w:sz="0" w:space="0" w:color="auto"/>
                                <w:right w:val="none" w:sz="0" w:space="0" w:color="auto"/>
                              </w:divBdr>
                              <w:divsChild>
                                <w:div w:id="2083988867">
                                  <w:marLeft w:val="0"/>
                                  <w:marRight w:val="0"/>
                                  <w:marTop w:val="0"/>
                                  <w:marBottom w:val="0"/>
                                  <w:divBdr>
                                    <w:top w:val="none" w:sz="0" w:space="0" w:color="auto"/>
                                    <w:left w:val="none" w:sz="0" w:space="0" w:color="auto"/>
                                    <w:bottom w:val="none" w:sz="0" w:space="0" w:color="auto"/>
                                    <w:right w:val="none" w:sz="0" w:space="0" w:color="auto"/>
                                  </w:divBdr>
                                  <w:divsChild>
                                    <w:div w:id="581765784">
                                      <w:marLeft w:val="0"/>
                                      <w:marRight w:val="0"/>
                                      <w:marTop w:val="0"/>
                                      <w:marBottom w:val="0"/>
                                      <w:divBdr>
                                        <w:top w:val="none" w:sz="0" w:space="0" w:color="auto"/>
                                        <w:left w:val="none" w:sz="0" w:space="0" w:color="auto"/>
                                        <w:bottom w:val="none" w:sz="0" w:space="0" w:color="auto"/>
                                        <w:right w:val="none" w:sz="0" w:space="0" w:color="auto"/>
                                      </w:divBdr>
                                      <w:divsChild>
                                        <w:div w:id="2141798182">
                                          <w:marLeft w:val="0"/>
                                          <w:marRight w:val="0"/>
                                          <w:marTop w:val="0"/>
                                          <w:marBottom w:val="0"/>
                                          <w:divBdr>
                                            <w:top w:val="none" w:sz="0" w:space="0" w:color="auto"/>
                                            <w:left w:val="none" w:sz="0" w:space="0" w:color="auto"/>
                                            <w:bottom w:val="none" w:sz="0" w:space="0" w:color="auto"/>
                                            <w:right w:val="none" w:sz="0" w:space="0" w:color="auto"/>
                                          </w:divBdr>
                                          <w:divsChild>
                                            <w:div w:id="513767599">
                                              <w:marLeft w:val="0"/>
                                              <w:marRight w:val="0"/>
                                              <w:marTop w:val="0"/>
                                              <w:marBottom w:val="0"/>
                                              <w:divBdr>
                                                <w:top w:val="none" w:sz="0" w:space="0" w:color="auto"/>
                                                <w:left w:val="none" w:sz="0" w:space="0" w:color="auto"/>
                                                <w:bottom w:val="none" w:sz="0" w:space="0" w:color="auto"/>
                                                <w:right w:val="none" w:sz="0" w:space="0" w:color="auto"/>
                                              </w:divBdr>
                                              <w:divsChild>
                                                <w:div w:id="1041519636">
                                                  <w:marLeft w:val="0"/>
                                                  <w:marRight w:val="0"/>
                                                  <w:marTop w:val="0"/>
                                                  <w:marBottom w:val="0"/>
                                                  <w:divBdr>
                                                    <w:top w:val="none" w:sz="0" w:space="0" w:color="auto"/>
                                                    <w:left w:val="none" w:sz="0" w:space="0" w:color="auto"/>
                                                    <w:bottom w:val="none" w:sz="0" w:space="0" w:color="auto"/>
                                                    <w:right w:val="none" w:sz="0" w:space="0" w:color="auto"/>
                                                  </w:divBdr>
                                                  <w:divsChild>
                                                    <w:div w:id="1680153063">
                                                      <w:marLeft w:val="0"/>
                                                      <w:marRight w:val="0"/>
                                                      <w:marTop w:val="0"/>
                                                      <w:marBottom w:val="0"/>
                                                      <w:divBdr>
                                                        <w:top w:val="none" w:sz="0" w:space="0" w:color="auto"/>
                                                        <w:left w:val="none" w:sz="0" w:space="0" w:color="auto"/>
                                                        <w:bottom w:val="none" w:sz="0" w:space="0" w:color="auto"/>
                                                        <w:right w:val="none" w:sz="0" w:space="0" w:color="auto"/>
                                                      </w:divBdr>
                                                      <w:divsChild>
                                                        <w:div w:id="1325669195">
                                                          <w:marLeft w:val="0"/>
                                                          <w:marRight w:val="0"/>
                                                          <w:marTop w:val="0"/>
                                                          <w:marBottom w:val="0"/>
                                                          <w:divBdr>
                                                            <w:top w:val="none" w:sz="0" w:space="0" w:color="auto"/>
                                                            <w:left w:val="none" w:sz="0" w:space="0" w:color="auto"/>
                                                            <w:bottom w:val="none" w:sz="0" w:space="0" w:color="auto"/>
                                                            <w:right w:val="none" w:sz="0" w:space="0" w:color="auto"/>
                                                          </w:divBdr>
                                                        </w:div>
                                                        <w:div w:id="421218932">
                                                          <w:marLeft w:val="0"/>
                                                          <w:marRight w:val="0"/>
                                                          <w:marTop w:val="0"/>
                                                          <w:marBottom w:val="0"/>
                                                          <w:divBdr>
                                                            <w:top w:val="none" w:sz="0" w:space="0" w:color="auto"/>
                                                            <w:left w:val="none" w:sz="0" w:space="0" w:color="auto"/>
                                                            <w:bottom w:val="none" w:sz="0" w:space="0" w:color="auto"/>
                                                            <w:right w:val="none" w:sz="0" w:space="0" w:color="auto"/>
                                                          </w:divBdr>
                                                        </w:div>
                                                        <w:div w:id="2675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j.com/content/367/bmj.l6217/article-info" TargetMode="External"/><Relationship Id="rId13" Type="http://schemas.openxmlformats.org/officeDocument/2006/relationships/hyperlink" Target="mailto:Elizabeth.Joe@med.usc.edu" TargetMode="External"/><Relationship Id="rId3" Type="http://schemas.openxmlformats.org/officeDocument/2006/relationships/settings" Target="settings.xml"/><Relationship Id="rId7" Type="http://schemas.openxmlformats.org/officeDocument/2006/relationships/hyperlink" Target="https://www.bmj.com/content/367/bmj.l6217/related" TargetMode="External"/><Relationship Id="rId12" Type="http://schemas.openxmlformats.org/officeDocument/2006/relationships/hyperlink" Target="https://www.bmj.com/content/367/bmj.l6217.lo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mj.com/content/367/bmj.l6217" TargetMode="External"/><Relationship Id="rId11" Type="http://schemas.openxmlformats.org/officeDocument/2006/relationships/hyperlink" Target="https://www.bmj.com/content/367/bmj.l6217.long" TargetMode="External"/><Relationship Id="rId5" Type="http://schemas.openxmlformats.org/officeDocument/2006/relationships/hyperlink" Target="https://doi.org/10.1136/bmj.l6217" TargetMode="External"/><Relationship Id="rId15" Type="http://schemas.openxmlformats.org/officeDocument/2006/relationships/theme" Target="theme/theme1.xml"/><Relationship Id="rId10" Type="http://schemas.openxmlformats.org/officeDocument/2006/relationships/hyperlink" Target="https://www.bmj.com/content/367/bmj.l6217.long" TargetMode="External"/><Relationship Id="rId4" Type="http://schemas.openxmlformats.org/officeDocument/2006/relationships/webSettings" Target="webSettings.xml"/><Relationship Id="rId9" Type="http://schemas.openxmlformats.org/officeDocument/2006/relationships/hyperlink" Target="https://www.bmj.com/content/367/bmj.l6217/rapid-respons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Labmanager</dc:creator>
  <cp:keywords/>
  <dc:description/>
  <cp:lastModifiedBy>Labmanager</cp:lastModifiedBy>
  <cp:revision>2</cp:revision>
  <dcterms:created xsi:type="dcterms:W3CDTF">2023-10-29T07:09:00Z</dcterms:created>
  <dcterms:modified xsi:type="dcterms:W3CDTF">2023-10-29T07:10:00Z</dcterms:modified>
</cp:coreProperties>
</file>